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KONTSERDITAOTLUS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Taotlustähtajad: 20. mai ja 20. november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  <w:t xml:space="preserve">Esitada aadressile </w:t>
      </w:r>
      <w:hyperlink r:id="rId5">
        <w:r w:rsidDel="00000000" w:rsidR="00000000" w:rsidRPr="00000000">
          <w:rPr>
            <w:color w:val="000080"/>
            <w:rtl w:val="0"/>
          </w:rPr>
          <w:t xml:space="preserve">taotlused@ema.edu.ee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Hilinenud taotlused arvestatakse järgnevasse semestrisse.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KÜSIMUS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VASTUS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KONTAKTISIK (nimi, telefoninumber, email)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ESINEJAD </w:t>
            </w:r>
            <w:r w:rsidDel="00000000" w:rsidR="00000000" w:rsidRPr="00000000">
              <w:rPr>
                <w:highlight w:val="white"/>
                <w:rtl w:val="0"/>
              </w:rPr>
              <w:t xml:space="preserve">(nimi, instrument), koosseisu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KONTSERDISARI: tudengiteisipäev, õppejõud laval, kontsert-eksam (sh doktorikontsert), külaliskontsert, klassikontsert, jubilate)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KAVA (vähemalt heliloojate nimed ning hiljemalt kolm nädalat enne kontserdi toimumist lõplik kava)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KONTSERDI SOOVITAV TOIMUMISE AEG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KONTSERDI SOOVITAV TOIMUMISE KOHT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KONTSERDIL VAJAMINEVAD TEHNILISED TARVIKUD (puldid, toolid, tšelloalus, poodiumid jms);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31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KONTSERDIL VAJAMINEV TEHNIKA (valgustus, helivõimendus, mikrofonid jms);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KONTSERDI LÜHIKIRJELDUS (3-7 lauset)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ESINEJATE CV-D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Lisada manusena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FOTO (võimalusel)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b w:val="1"/>
          <w:highlight w:val="white"/>
          <w:rtl w:val="0"/>
        </w:rPr>
        <w:t xml:space="preserve">Taotlust esitades olen nõustunud EMTA kontsertide korraldamise heade tavadega, mis on leitav aadressilt: </w:t>
      </w:r>
      <w:hyperlink r:id="rId6">
        <w:r w:rsidDel="00000000" w:rsidR="00000000" w:rsidRPr="00000000">
          <w:rPr>
            <w:rtl w:val="0"/>
          </w:rPr>
          <w:t xml:space="preserve">http://www.ema.edu.ee/wp-content/uploads/2016/06/head_tavad_2016_allkiri.pdf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b w:val="1"/>
          <w:highlight w:val="white"/>
          <w:rtl w:val="0"/>
        </w:rPr>
        <w:t xml:space="preserve">Koos taotlusega on kohustuslik esitada soovitud kontserdi kohta pdf-failina õppejõu allkirjastatud vabas vormis kinnitus (sobib ka digitaalselt allkirjastatud versioon).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40" w:line="28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31" w:lineRule="auto"/>
        <w:contextualSpacing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highlight w:val="white"/>
          <w:rtl w:val="0"/>
        </w:rPr>
        <w:t xml:space="preserve">Eelisjärjekorras paigutatakse hooaega osakondade tähtsündmused. Kontserditaotluste hulgast teevad lõpliku valiku õppejõud ning osakonnajuhatajad. Hooaega hindab Eesti Muusika- ja Teatriakadeemia Kontserdi- ja Etenduskeskuse kunstinõukogu.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331" w:lineRule="auto"/>
        <w:contextualSpacing w:val="0"/>
        <w:rPr/>
      </w:pPr>
      <w:r w:rsidDel="00000000" w:rsidR="00000000" w:rsidRPr="00000000">
        <w:rPr>
          <w:rtl w:val="0"/>
        </w:rPr>
        <w:t xml:space="preserve">Palume tutvuda EMTA kontsertide korraldamise heade tavadega aadressil:</w:t>
        <w:br w:type="textWrapping"/>
      </w:r>
      <w:hyperlink r:id="rId7">
        <w:r w:rsidDel="00000000" w:rsidR="00000000" w:rsidRPr="00000000">
          <w:rPr>
            <w:rtl w:val="0"/>
          </w:rPr>
          <w:t xml:space="preserve">http://www.ema.edu.ee/wp-content/uploads/2016/06/head_tavad_2016_allkiri.pdf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331" w:lineRule="auto"/>
        <w:contextualSpacing w:val="0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Eesti Muusika- ja Teatriakadeemia Kontserdi- ja Etenduskeskus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hyperlink r:id="rId8">
        <w:r w:rsidDel="00000000" w:rsidR="00000000" w:rsidRPr="00000000">
          <w:rPr>
            <w:color w:val="000080"/>
            <w:u w:val="single"/>
            <w:rtl w:val="0"/>
          </w:rPr>
          <w:t xml:space="preserve">kontsert@ema.edu.ee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ema.edu.ee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aotlused@ema.edu.ee" TargetMode="External"/><Relationship Id="rId6" Type="http://schemas.openxmlformats.org/officeDocument/2006/relationships/hyperlink" Target="http://www.ema.edu.ee/wp-content/uploads/2016/06/head_tavad_2016_allkiri.pdf" TargetMode="External"/><Relationship Id="rId7" Type="http://schemas.openxmlformats.org/officeDocument/2006/relationships/hyperlink" Target="http://www.ema.edu.ee/wp-content/uploads/2016/06/head_tavad_2016_allkiri.pdf" TargetMode="External"/><Relationship Id="rId8" Type="http://schemas.openxmlformats.org/officeDocument/2006/relationships/hyperlink" Target="mailto:kontsert@ema.edu.ee" TargetMode="External"/></Relationships>
</file>